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752D" w14:textId="77777777" w:rsidR="00AE3425" w:rsidRDefault="00AE3425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BEE089" w14:textId="008BA44D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ПРОЕКТ ПОСТАНОВЛЕНИЯ</w:t>
      </w:r>
    </w:p>
    <w:p w14:paraId="082ADB6B" w14:textId="77777777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7BF72F15" w14:textId="0F53AA7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58DCB2AC" w14:textId="3F724FEF" w:rsidR="003A2A15" w:rsidRDefault="003A2A15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spellStart"/>
      <w:r w:rsidR="00272398">
        <w:rPr>
          <w:b/>
          <w:bCs/>
        </w:rPr>
        <w:t>Семилетовский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Дюртюлинский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14:paraId="38C51B56" w14:textId="2BEEDFC3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E491FEA" w14:textId="61F7D075" w:rsidR="007F1C23" w:rsidRPr="00CF202C" w:rsidRDefault="007F1C23" w:rsidP="000C5901">
      <w:pPr>
        <w:pStyle w:val="af"/>
        <w:rPr>
          <w:rFonts w:ascii="Times New Roman" w:hAnsi="Times New Roman"/>
          <w:b/>
          <w:sz w:val="28"/>
          <w:szCs w:val="28"/>
        </w:rPr>
      </w:pPr>
    </w:p>
    <w:p w14:paraId="62A82A00" w14:textId="01F6805F" w:rsidR="007F1C23" w:rsidRPr="00CF202C" w:rsidRDefault="007F1C2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0C5901">
        <w:t>ения в Республике Башкортостан»,</w:t>
      </w:r>
    </w:p>
    <w:p w14:paraId="68602A4C" w14:textId="2A76D8E1" w:rsidR="007F1C23" w:rsidRPr="00CF202C" w:rsidRDefault="007F1C23" w:rsidP="008B25B9">
      <w:pPr>
        <w:pStyle w:val="3"/>
        <w:ind w:firstLine="709"/>
        <w:rPr>
          <w:szCs w:val="28"/>
        </w:rPr>
      </w:pPr>
      <w:r w:rsidRPr="00CF202C">
        <w:rPr>
          <w:szCs w:val="28"/>
        </w:rPr>
        <w:t>П</w:t>
      </w:r>
      <w:r w:rsidR="000C5901">
        <w:rPr>
          <w:szCs w:val="28"/>
        </w:rPr>
        <w:t>ОСТАНОВЛЯЮ</w:t>
      </w:r>
      <w:r w:rsidRPr="00CF202C">
        <w:rPr>
          <w:szCs w:val="28"/>
        </w:rPr>
        <w:t>:</w:t>
      </w:r>
    </w:p>
    <w:p w14:paraId="4C439FD1" w14:textId="05B1B6B6" w:rsidR="007F1C23" w:rsidRPr="00CF202C" w:rsidRDefault="000C5901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1.</w:t>
      </w:r>
      <w:r w:rsidR="007F1C23" w:rsidRPr="00CF202C">
        <w:t>Утвердить</w:t>
      </w:r>
      <w:r>
        <w:t xml:space="preserve"> прилагаемый</w:t>
      </w:r>
      <w:r w:rsidR="007F1C23" w:rsidRPr="00CF202C">
        <w:t xml:space="preserve"> Административный регламент предоставления муниципальной услуги </w:t>
      </w:r>
      <w:r w:rsidR="007F1C23"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F1C23" w:rsidRPr="00CF202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в сельском поселении </w:t>
      </w:r>
      <w:proofErr w:type="spellStart"/>
      <w:r w:rsidR="00272398">
        <w:rPr>
          <w:rFonts w:eastAsiaTheme="minorEastAsia"/>
          <w:bCs/>
        </w:rPr>
        <w:t>Семилетовский</w:t>
      </w:r>
      <w:proofErr w:type="spellEnd"/>
      <w:r>
        <w:rPr>
          <w:rFonts w:eastAsiaTheme="minorEastAsia"/>
          <w:bCs/>
        </w:rPr>
        <w:t xml:space="preserve"> сельсовет муниципального района </w:t>
      </w:r>
      <w:proofErr w:type="spellStart"/>
      <w:r>
        <w:rPr>
          <w:rFonts w:eastAsiaTheme="minorEastAsia"/>
          <w:bCs/>
        </w:rPr>
        <w:t>Дюртюлинский</w:t>
      </w:r>
      <w:proofErr w:type="spellEnd"/>
      <w:r>
        <w:rPr>
          <w:rFonts w:eastAsiaTheme="minorEastAsia"/>
          <w:bCs/>
        </w:rPr>
        <w:t xml:space="preserve"> район Республики Башкортостан.</w:t>
      </w:r>
    </w:p>
    <w:p w14:paraId="61200E1E" w14:textId="4A6E76E4" w:rsidR="000C5901" w:rsidRDefault="000C5901" w:rsidP="000C5901">
      <w:pPr>
        <w:spacing w:after="0" w:line="240" w:lineRule="auto"/>
        <w:jc w:val="both"/>
      </w:pPr>
      <w:r>
        <w:t>2.</w:t>
      </w:r>
      <w:r w:rsidR="007F1C23" w:rsidRPr="00CF202C">
        <w:t>Настоящее постановление вс</w:t>
      </w:r>
      <w:r w:rsidR="000661D8">
        <w:t>тупает в силу на следующий день</w:t>
      </w:r>
      <w:r w:rsidR="007F1C23" w:rsidRPr="00CF202C">
        <w:t xml:space="preserve"> после дня</w:t>
      </w:r>
      <w:r>
        <w:t xml:space="preserve"> его официального обнародования.</w:t>
      </w:r>
    </w:p>
    <w:p w14:paraId="2966E1C5" w14:textId="67DFDCB3" w:rsidR="000C5901" w:rsidRPr="002E27BF" w:rsidRDefault="000C5901" w:rsidP="000C5901">
      <w:pPr>
        <w:tabs>
          <w:tab w:val="left" w:pos="567"/>
        </w:tabs>
        <w:spacing w:line="240" w:lineRule="auto"/>
        <w:jc w:val="both"/>
      </w:pPr>
      <w:r w:rsidRPr="002E27BF">
        <w:rPr>
          <w:color w:val="000000"/>
        </w:rPr>
        <w:t>3. Настоящее постановление обнародовать</w:t>
      </w:r>
      <w:r w:rsidRPr="002E27BF">
        <w:rPr>
          <w:rFonts w:eastAsia="Calibri"/>
        </w:rPr>
        <w:t xml:space="preserve"> на информационном стенде в здании администрации сельского поселения </w:t>
      </w:r>
      <w:proofErr w:type="spellStart"/>
      <w:r w:rsidR="00272398">
        <w:rPr>
          <w:rFonts w:eastAsia="Calibri"/>
        </w:rPr>
        <w:t>Семилетовский</w:t>
      </w:r>
      <w:proofErr w:type="spellEnd"/>
      <w:r w:rsidRPr="002E27BF">
        <w:rPr>
          <w:rFonts w:eastAsia="Calibri"/>
        </w:rPr>
        <w:t xml:space="preserve"> сельсовет муниципального района </w:t>
      </w:r>
      <w:proofErr w:type="spellStart"/>
      <w:r w:rsidRPr="002E27BF">
        <w:rPr>
          <w:rFonts w:eastAsia="Calibri"/>
        </w:rPr>
        <w:t>Дюртюлинский</w:t>
      </w:r>
      <w:proofErr w:type="spellEnd"/>
      <w:r w:rsidRPr="002E27BF">
        <w:rPr>
          <w:rFonts w:eastAsia="Calibri"/>
        </w:rPr>
        <w:t xml:space="preserve"> район Республики Башкортостан по адресу: </w:t>
      </w:r>
      <w:proofErr w:type="spellStart"/>
      <w:r w:rsidRPr="002E27BF">
        <w:rPr>
          <w:rFonts w:eastAsia="Calibri"/>
        </w:rPr>
        <w:t>с</w:t>
      </w:r>
      <w:proofErr w:type="gramStart"/>
      <w:r w:rsidRPr="002E27BF">
        <w:rPr>
          <w:rFonts w:eastAsia="Calibri"/>
        </w:rPr>
        <w:t>.</w:t>
      </w:r>
      <w:r w:rsidR="00272398">
        <w:rPr>
          <w:rFonts w:eastAsia="Calibri"/>
        </w:rPr>
        <w:t>С</w:t>
      </w:r>
      <w:proofErr w:type="gramEnd"/>
      <w:r w:rsidR="00272398">
        <w:rPr>
          <w:rFonts w:eastAsia="Calibri"/>
        </w:rPr>
        <w:t>емилетка</w:t>
      </w:r>
      <w:proofErr w:type="spellEnd"/>
      <w:r w:rsidRPr="002E27BF">
        <w:rPr>
          <w:rFonts w:eastAsia="Calibri"/>
        </w:rPr>
        <w:t xml:space="preserve">, </w:t>
      </w:r>
      <w:proofErr w:type="spellStart"/>
      <w:r w:rsidRPr="002E27BF">
        <w:rPr>
          <w:rFonts w:eastAsia="Calibri"/>
        </w:rPr>
        <w:t>ул.</w:t>
      </w:r>
      <w:r w:rsidR="00272398">
        <w:rPr>
          <w:rFonts w:eastAsia="Calibri"/>
        </w:rPr>
        <w:t>Ленина</w:t>
      </w:r>
      <w:proofErr w:type="spellEnd"/>
      <w:r w:rsidR="00272398">
        <w:rPr>
          <w:rFonts w:eastAsia="Calibri"/>
        </w:rPr>
        <w:t>, 10</w:t>
      </w:r>
      <w:r w:rsidRPr="002E27BF">
        <w:rPr>
          <w:rFonts w:eastAsia="Calibri"/>
        </w:rPr>
        <w:t xml:space="preserve"> и на  официальном сайте в сети «Интернет».</w:t>
      </w:r>
    </w:p>
    <w:p w14:paraId="5F65E89A" w14:textId="2E1AC3D9" w:rsidR="000C5901" w:rsidRPr="002E27BF" w:rsidRDefault="000C5901" w:rsidP="000C5901">
      <w:pPr>
        <w:tabs>
          <w:tab w:val="left" w:pos="567"/>
        </w:tabs>
        <w:spacing w:line="240" w:lineRule="auto"/>
        <w:jc w:val="both"/>
        <w:rPr>
          <w:rFonts w:eastAsia="Calibri"/>
        </w:rPr>
      </w:pPr>
      <w:r w:rsidRPr="002E27BF">
        <w:rPr>
          <w:rFonts w:eastAsia="Calibri"/>
        </w:rPr>
        <w:t xml:space="preserve">4. </w:t>
      </w:r>
      <w:proofErr w:type="gramStart"/>
      <w:r w:rsidRPr="002E27BF">
        <w:rPr>
          <w:rFonts w:eastAsia="Calibri"/>
        </w:rPr>
        <w:t>Контроль за</w:t>
      </w:r>
      <w:proofErr w:type="gramEnd"/>
      <w:r w:rsidRPr="002E27BF">
        <w:rPr>
          <w:rFonts w:eastAsia="Calibri"/>
        </w:rPr>
        <w:t xml:space="preserve">  выполнением настоящего постановления оставляю за собой.</w:t>
      </w:r>
    </w:p>
    <w:p w14:paraId="744C61A5" w14:textId="77777777" w:rsidR="000C5901" w:rsidRDefault="000C5901" w:rsidP="000C5901">
      <w:pPr>
        <w:adjustRightInd w:val="0"/>
        <w:jc w:val="both"/>
        <w:rPr>
          <w:rFonts w:eastAsia="Calibri"/>
          <w:b/>
        </w:rPr>
      </w:pPr>
    </w:p>
    <w:p w14:paraId="28057CFD" w14:textId="1A29C9C4" w:rsidR="000C5901" w:rsidRPr="000C5901" w:rsidRDefault="000C5901" w:rsidP="000C5901">
      <w:pPr>
        <w:adjustRightInd w:val="0"/>
        <w:jc w:val="both"/>
        <w:rPr>
          <w:rFonts w:eastAsia="Calibri"/>
          <w:b/>
        </w:rPr>
      </w:pPr>
      <w:r w:rsidRPr="002E27BF">
        <w:rPr>
          <w:rFonts w:eastAsia="Calibri"/>
          <w:b/>
        </w:rPr>
        <w:t xml:space="preserve">Глава сельского поселения                                                           </w:t>
      </w:r>
      <w:proofErr w:type="spellStart"/>
      <w:r w:rsidR="00272398">
        <w:rPr>
          <w:rFonts w:eastAsia="Calibri"/>
          <w:b/>
        </w:rPr>
        <w:t>Р.Р.Имаев</w:t>
      </w:r>
      <w:proofErr w:type="spellEnd"/>
    </w:p>
    <w:p w14:paraId="30C5BC69" w14:textId="24D0884B" w:rsidR="007F1C23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272398">
        <w:rPr>
          <w:b/>
        </w:rPr>
        <w:t>С</w:t>
      </w:r>
      <w:proofErr w:type="gramEnd"/>
      <w:r w:rsidR="00272398">
        <w:rPr>
          <w:b/>
        </w:rPr>
        <w:t>емилетка</w:t>
      </w:r>
      <w:proofErr w:type="spellEnd"/>
    </w:p>
    <w:p w14:paraId="4756EB20" w14:textId="50F7811F" w:rsidR="000C5901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«___»__________2022 г.</w:t>
      </w:r>
    </w:p>
    <w:p w14:paraId="42215ECC" w14:textId="7F0B3DB5" w:rsidR="000C5901" w:rsidRPr="00CF202C" w:rsidRDefault="000C5901" w:rsidP="000C5901">
      <w:pPr>
        <w:tabs>
          <w:tab w:val="left" w:pos="7425"/>
        </w:tabs>
        <w:spacing w:after="0" w:line="240" w:lineRule="auto"/>
        <w:jc w:val="both"/>
        <w:rPr>
          <w:b/>
        </w:rPr>
      </w:pPr>
      <w:r>
        <w:rPr>
          <w:b/>
        </w:rPr>
        <w:t>№ _____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61D8656" w14:textId="7BB5F346" w:rsidR="007F1C23" w:rsidRDefault="00013F35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0E42B02E" w14:textId="5CDB947B" w:rsidR="007E3083" w:rsidRDefault="007E3083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63E15B85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</w:t>
      </w:r>
    </w:p>
    <w:p w14:paraId="5780EE28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083D6381" w14:textId="539EE975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="00272398">
        <w:rPr>
          <w:color w:val="000000" w:themeColor="text1"/>
          <w:sz w:val="24"/>
          <w:szCs w:val="24"/>
        </w:rPr>
        <w:t>Семилетовский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361EFFB7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5E44DDA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6EDC0B3F" w14:textId="653849CB" w:rsidR="007E3083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3B73DC6B" w14:textId="77777777" w:rsidR="007E3083" w:rsidRPr="00CF202C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14:paraId="5087D2A8" w14:textId="4A39F877" w:rsidR="003A2A15" w:rsidRPr="000C5901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 xml:space="preserve">» </w:t>
      </w:r>
      <w:r w:rsidR="000C5901">
        <w:rPr>
          <w:rFonts w:eastAsiaTheme="minorEastAsia"/>
          <w:b/>
          <w:bCs/>
        </w:rPr>
        <w:t xml:space="preserve"> </w:t>
      </w:r>
      <w:r w:rsidR="003A2A15">
        <w:rPr>
          <w:b/>
          <w:bCs/>
        </w:rPr>
        <w:t xml:space="preserve">в сельском поселении </w:t>
      </w:r>
      <w:proofErr w:type="spellStart"/>
      <w:r w:rsidR="00272398">
        <w:rPr>
          <w:b/>
          <w:bCs/>
        </w:rPr>
        <w:t>Семилетовский</w:t>
      </w:r>
      <w:proofErr w:type="spellEnd"/>
      <w:r w:rsidR="003A2A15">
        <w:rPr>
          <w:b/>
          <w:bCs/>
        </w:rPr>
        <w:t xml:space="preserve"> сельсовет муниципального района </w:t>
      </w:r>
      <w:proofErr w:type="spellStart"/>
      <w:r w:rsidR="003A2A15">
        <w:rPr>
          <w:b/>
          <w:bCs/>
        </w:rPr>
        <w:t>Дюртюлинский</w:t>
      </w:r>
      <w:proofErr w:type="spellEnd"/>
      <w:r w:rsidR="003A2A15">
        <w:rPr>
          <w:b/>
          <w:bCs/>
        </w:rPr>
        <w:t xml:space="preserve"> район 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14:paraId="065167D1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201DFFF4" w:rsidR="007753F7" w:rsidRPr="00CF202C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proofErr w:type="gramStart"/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>публичного</w:t>
      </w:r>
      <w:proofErr w:type="gramEnd"/>
      <w:r w:rsidR="00134BBC">
        <w:t xml:space="preserve">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C5901">
        <w:t xml:space="preserve"> в сельском поселении </w:t>
      </w:r>
      <w:proofErr w:type="spellStart"/>
      <w:r w:rsidR="00272398">
        <w:t>Семилетовский</w:t>
      </w:r>
      <w:proofErr w:type="spellEnd"/>
      <w:r w:rsidR="000C5901">
        <w:t xml:space="preserve"> сельсовет муниципального района </w:t>
      </w:r>
      <w:proofErr w:type="spellStart"/>
      <w:r w:rsidR="000C5901">
        <w:t>Дюртюлинский</w:t>
      </w:r>
      <w:proofErr w:type="spellEnd"/>
      <w:r w:rsidR="000C5901">
        <w:t xml:space="preserve">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6BAB26E0" w:rsidR="008D6E9C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proofErr w:type="gramStart"/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0C5901">
        <w:rPr>
          <w:color w:val="000000" w:themeColor="text1"/>
        </w:rPr>
        <w:t xml:space="preserve"> сельского поселения </w:t>
      </w:r>
      <w:proofErr w:type="spellStart"/>
      <w:r w:rsidR="00272398">
        <w:rPr>
          <w:color w:val="000000" w:themeColor="text1"/>
        </w:rPr>
        <w:t>Семилетовский</w:t>
      </w:r>
      <w:proofErr w:type="spellEnd"/>
      <w:r w:rsidR="000C5901">
        <w:rPr>
          <w:color w:val="000000" w:themeColor="text1"/>
        </w:rPr>
        <w:t xml:space="preserve"> сельсовет муниципального района </w:t>
      </w:r>
      <w:proofErr w:type="spellStart"/>
      <w:r w:rsidR="000C5901">
        <w:rPr>
          <w:color w:val="000000" w:themeColor="text1"/>
        </w:rPr>
        <w:t>Дюртюлинский</w:t>
      </w:r>
      <w:proofErr w:type="spellEnd"/>
      <w:r w:rsidR="000C5901">
        <w:rPr>
          <w:color w:val="000000" w:themeColor="text1"/>
        </w:rPr>
        <w:t xml:space="preserve"> район Республики Башкортостан</w:t>
      </w:r>
      <w:r w:rsidR="000661D8">
        <w:t xml:space="preserve">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  <w:proofErr w:type="gramEnd"/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21DD4FB5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>о месте нахождения и график</w:t>
      </w:r>
      <w:r w:rsidR="000C5901">
        <w:t xml:space="preserve">е работы Администрации сельского поселения </w:t>
      </w:r>
      <w:proofErr w:type="spellStart"/>
      <w:r w:rsidR="00272398">
        <w:t>Семилетовский</w:t>
      </w:r>
      <w:proofErr w:type="spellEnd"/>
      <w:r w:rsidR="000C5901">
        <w:t xml:space="preserve"> сельсовет муниципального района </w:t>
      </w:r>
      <w:proofErr w:type="spellStart"/>
      <w:r w:rsidR="000C5901">
        <w:t>Дюртюлинский</w:t>
      </w:r>
      <w:proofErr w:type="spellEnd"/>
      <w:r w:rsidR="000C5901">
        <w:t xml:space="preserve"> район Республики Башкортостан</w:t>
      </w:r>
      <w:r>
        <w:t xml:space="preserve">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502E2517" w:rsidR="007720B8" w:rsidRPr="00856ED5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hyperlink r:id="rId9" w:history="1">
        <w:r w:rsidR="00856ED5" w:rsidRPr="00856ED5">
          <w:rPr>
            <w:rStyle w:val="a4"/>
            <w:color w:val="000000" w:themeColor="text1"/>
            <w:u w:val="none"/>
          </w:rPr>
          <w:t>http://taimurzino.ru</w:t>
        </w:r>
      </w:hyperlink>
      <w:proofErr w:type="gramStart"/>
      <w:r w:rsidR="00272398">
        <w:rPr>
          <w:rStyle w:val="a4"/>
          <w:color w:val="000000" w:themeColor="text1"/>
          <w:u w:val="none"/>
        </w:rPr>
        <w:t xml:space="preserve"> </w:t>
      </w:r>
      <w:r w:rsidRPr="00856ED5">
        <w:t>;</w:t>
      </w:r>
      <w:proofErr w:type="gramEnd"/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lastRenderedPageBreak/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</w:t>
      </w:r>
      <w:r>
        <w:lastRenderedPageBreak/>
        <w:t>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lastRenderedPageBreak/>
        <w:t>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0ED71128" w:rsidR="000D38AB" w:rsidRPr="00856ED5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>
        <w:lastRenderedPageBreak/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</w:t>
      </w:r>
      <w:r w:rsidR="00856ED5">
        <w:t>«</w:t>
      </w:r>
      <w:r w:rsidR="000D38AB" w:rsidRPr="000D38AB">
        <w:t>Интернет</w:t>
      </w:r>
      <w:r w:rsidR="00856ED5">
        <w:t>»:</w:t>
      </w:r>
      <w:r w:rsidR="000D38AB" w:rsidRPr="000D38AB">
        <w:t xml:space="preserve"> </w:t>
      </w:r>
      <w:r w:rsidR="00D41582" w:rsidRPr="00D41582">
        <w:rPr>
          <w:rFonts w:eastAsia="Calibri"/>
        </w:rPr>
        <w:t>https://semiletka.ru/;</w:t>
      </w:r>
      <w:r w:rsidR="00D41582" w:rsidRPr="000D38AB">
        <w:t xml:space="preserve"> </w:t>
      </w:r>
      <w:bookmarkStart w:id="0" w:name="_GoBack"/>
      <w:bookmarkEnd w:id="0"/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предоставляющего</w:t>
      </w:r>
      <w:r w:rsidRPr="005C60FF">
        <w:rPr>
          <w:rFonts w:eastAsia="Calibri"/>
          <w:b/>
        </w:rPr>
        <w:t>(</w:t>
      </w:r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8A8C0E2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>ей 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Pr="009514CD">
        <w:t xml:space="preserve"> в лице</w:t>
      </w:r>
      <w:r w:rsidR="000A19F6">
        <w:t xml:space="preserve"> </w:t>
      </w:r>
      <w:r w:rsidR="000C5901" w:rsidRPr="000C5901">
        <w:t>управляющей делами</w:t>
      </w:r>
      <w:r w:rsidR="007F3A7A" w:rsidRPr="000C5901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 xml:space="preserve">сервитута в отношении земельных участков, находящихся в муниципальной </w:t>
      </w:r>
      <w:r w:rsidR="009057C7" w:rsidRPr="009057C7">
        <w:lastRenderedPageBreak/>
        <w:t>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>ой поступления считается первый</w:t>
      </w:r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 xml:space="preserve">государственной </w:t>
      </w:r>
      <w:r w:rsidRPr="009514CD"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>) почтовый адрес и (или) адрес электронной почты для связи с 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</w:t>
      </w:r>
      <w:r w:rsidRPr="00287DE7">
        <w:rPr>
          <w:color w:val="000000"/>
        </w:rPr>
        <w:lastRenderedPageBreak/>
        <w:t xml:space="preserve">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lastRenderedPageBreak/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8F67F9">
        <w:t>ые</w:t>
      </w:r>
      <w:proofErr w:type="spellEnd"/>
      <w:r w:rsidRPr="008F67F9">
        <w:t>) 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</w:t>
      </w:r>
      <w:proofErr w:type="gramStart"/>
      <w:r w:rsidRPr="00EE14B9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AD304D">
        <w:rPr>
          <w:rFonts w:eastAsia="Calibri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</w:t>
      </w:r>
      <w:r w:rsidR="00075B90" w:rsidRPr="00873694">
        <w:lastRenderedPageBreak/>
        <w:t>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документа(-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F97322" w:rsidP="008B25B9">
      <w:pPr>
        <w:spacing w:after="0" w:line="240" w:lineRule="auto"/>
        <w:ind w:firstLine="709"/>
        <w:jc w:val="both"/>
      </w:pPr>
      <w:hyperlink r:id="rId11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 xml:space="preserve">в течение одного рабочего дня </w:t>
      </w:r>
      <w:r w:rsidRPr="00EE14B9">
        <w:lastRenderedPageBreak/>
        <w:t>с момента получения заявления об исправлении опечаток и ошибок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подписанный </w:t>
      </w:r>
      <w:proofErr w:type="gramStart"/>
      <w:r w:rsidRPr="00EE14B9">
        <w:t>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lastRenderedPageBreak/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lastRenderedPageBreak/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</w:t>
      </w:r>
      <w:r w:rsidR="00104DEA" w:rsidRPr="00873694">
        <w:lastRenderedPageBreak/>
        <w:t>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E84EE0">
        <w:rPr>
          <w:rFonts w:eastAsia="Times New Roman"/>
          <w:lang w:eastAsia="ru-RU"/>
        </w:rPr>
        <w:lastRenderedPageBreak/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66BF7DC6" w14:textId="77777777" w:rsidR="00272398" w:rsidRPr="00272398" w:rsidRDefault="00272398" w:rsidP="0027239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272398">
        <w:rPr>
          <w:rFonts w:eastAsia="Calibri"/>
        </w:rPr>
        <w:t xml:space="preserve">          </w:t>
      </w:r>
      <w:proofErr w:type="gramStart"/>
      <w:r w:rsidRPr="00272398">
        <w:rPr>
          <w:rFonts w:eastAsia="Calibri"/>
        </w:rPr>
        <w:t xml:space="preserve">постановлением главы сельского поселения </w:t>
      </w:r>
      <w:proofErr w:type="spellStart"/>
      <w:r w:rsidRPr="00272398">
        <w:rPr>
          <w:rFonts w:eastAsia="Calibri"/>
        </w:rPr>
        <w:t>Семилетовский</w:t>
      </w:r>
      <w:proofErr w:type="spellEnd"/>
      <w:r w:rsidRPr="00272398">
        <w:rPr>
          <w:rFonts w:eastAsia="Calibri"/>
        </w:rPr>
        <w:t xml:space="preserve"> сельсовет муниципального района </w:t>
      </w:r>
      <w:proofErr w:type="spellStart"/>
      <w:r w:rsidRPr="00272398">
        <w:rPr>
          <w:rFonts w:eastAsia="Calibri"/>
        </w:rPr>
        <w:t>Дюртюлинский</w:t>
      </w:r>
      <w:proofErr w:type="spellEnd"/>
      <w:r w:rsidRPr="00272398">
        <w:rPr>
          <w:rFonts w:eastAsia="Calibri"/>
        </w:rPr>
        <w:tab/>
        <w:t xml:space="preserve"> район Республики Башкортостан от 21.12.2018  № 12/18 «</w:t>
      </w:r>
      <w:r w:rsidRPr="00272398">
        <w:rPr>
          <w:rFonts w:eastAsia="Times New Roman"/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272398">
        <w:rPr>
          <w:rFonts w:eastAsia="Times New Roman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272398">
        <w:rPr>
          <w:rFonts w:eastAsia="Calibri"/>
        </w:rPr>
        <w:t>».</w:t>
      </w:r>
      <w:proofErr w:type="gramEnd"/>
    </w:p>
    <w:p w14:paraId="12FD571D" w14:textId="77777777" w:rsidR="00E84EE0" w:rsidRPr="00E84EE0" w:rsidRDefault="006377EC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2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формирование и направление РГАУ МФЦ межведомственного запроса в органы, предоставляющие государственные и муниципальные услуги, в </w:t>
      </w:r>
      <w:r w:rsidRPr="00EE14B9"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EE14B9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lastRenderedPageBreak/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</w:t>
      </w:r>
      <w:r w:rsidRPr="00EE14B9">
        <w:lastRenderedPageBreak/>
        <w:t>чем делается соответствующая запись в расписке  в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</w:t>
      </w:r>
      <w:r w:rsidRPr="00EE14B9">
        <w:lastRenderedPageBreak/>
        <w:t xml:space="preserve">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r w:rsidR="00AA1B59"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2014FE7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66E383A8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13EADAE" w14:textId="1805C721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0B4F3FD" w14:textId="08204645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9348474" w14:textId="4E04CE03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96022B5" w14:textId="1D6B762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EA0DAB6" w14:textId="77C4F8D9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A8BA640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0C590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t>Приложение № 1</w:t>
      </w:r>
    </w:p>
    <w:p w14:paraId="0BC12B61" w14:textId="77777777" w:rsidR="00E7209C" w:rsidRPr="000C5901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0C5901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 xml:space="preserve">м </w:t>
      </w:r>
      <w:r w:rsidR="00AD6511">
        <w:lastRenderedPageBreak/>
        <w:t>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>Документ, удостоверяющий полномочия представителя</w:t>
      </w:r>
      <w:r>
        <w:rPr>
          <w:rFonts w:eastAsia="Times New Roman"/>
          <w:sz w:val="24"/>
          <w:szCs w:val="24"/>
          <w:lang w:eastAsia="ru-RU"/>
        </w:rPr>
        <w:t>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D4A8C8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45C01E9" w14:textId="768CA16A" w:rsidR="000C5901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1952D3" w14:textId="77777777" w:rsidR="000C5901" w:rsidRPr="008B6964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0C590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t xml:space="preserve">Приложение № </w:t>
      </w:r>
      <w:r w:rsidR="00A77578" w:rsidRPr="000C5901">
        <w:rPr>
          <w:sz w:val="24"/>
          <w:szCs w:val="24"/>
        </w:rPr>
        <w:t>2</w:t>
      </w:r>
    </w:p>
    <w:p w14:paraId="69FF0C54" w14:textId="77777777" w:rsidR="00E51570" w:rsidRPr="000C5901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lastRenderedPageBreak/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602A15E3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9969E06" w14:textId="41676CF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7CC81DF" w14:textId="765DFE4E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1F5F1" w14:textId="08C4C17D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F3F7E05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0C590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t>Приложение № 3</w:t>
      </w:r>
    </w:p>
    <w:p w14:paraId="7AAFCFB7" w14:textId="77777777" w:rsidR="00A77578" w:rsidRPr="000C5901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0C5901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lastRenderedPageBreak/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571170B6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8AF9CAC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7DF8DAC7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2B9B4027" w:rsidR="00E7209C" w:rsidRPr="000C590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t xml:space="preserve">Приложение № </w:t>
      </w:r>
      <w:r w:rsidR="001A241F" w:rsidRPr="000C5901">
        <w:rPr>
          <w:sz w:val="24"/>
          <w:szCs w:val="24"/>
        </w:rPr>
        <w:t>4</w:t>
      </w:r>
    </w:p>
    <w:p w14:paraId="402D8CF2" w14:textId="77777777" w:rsidR="00E7209C" w:rsidRPr="000C5901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 xml:space="preserve">(наименование должности руководителя юридического </w:t>
            </w:r>
            <w:r w:rsidRPr="00820ACF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lastRenderedPageBreak/>
              <w:t xml:space="preserve">(подпись руководителя юридического лица, </w:t>
            </w:r>
            <w:r w:rsidRPr="00820ACF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lastRenderedPageBreak/>
              <w:t xml:space="preserve">(фамилия, инициалы руководителя юридического </w:t>
            </w:r>
            <w:r w:rsidRPr="00820ACF">
              <w:rPr>
                <w:sz w:val="24"/>
                <w:szCs w:val="24"/>
              </w:rPr>
              <w:lastRenderedPageBreak/>
              <w:t>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3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0C5901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712321" w:rsidRPr="000C5901">
        <w:rPr>
          <w:sz w:val="24"/>
          <w:szCs w:val="24"/>
        </w:rPr>
        <w:t>5</w:t>
      </w:r>
    </w:p>
    <w:p w14:paraId="43AD7284" w14:textId="77777777" w:rsidR="004C2F49" w:rsidRPr="000C5901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FBF45" w14:textId="77777777" w:rsidR="00F97322" w:rsidRDefault="00F97322" w:rsidP="007753F7">
      <w:pPr>
        <w:spacing w:after="0" w:line="240" w:lineRule="auto"/>
      </w:pPr>
      <w:r>
        <w:separator/>
      </w:r>
    </w:p>
  </w:endnote>
  <w:endnote w:type="continuationSeparator" w:id="0">
    <w:p w14:paraId="6080F599" w14:textId="77777777" w:rsidR="00F97322" w:rsidRDefault="00F9732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F7C9" w14:textId="77777777" w:rsidR="00F97322" w:rsidRDefault="00F97322" w:rsidP="007753F7">
      <w:pPr>
        <w:spacing w:after="0" w:line="240" w:lineRule="auto"/>
      </w:pPr>
      <w:r>
        <w:separator/>
      </w:r>
    </w:p>
  </w:footnote>
  <w:footnote w:type="continuationSeparator" w:id="0">
    <w:p w14:paraId="6B670DA2" w14:textId="77777777" w:rsidR="00F97322" w:rsidRDefault="00F9732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6E6D062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D41582">
          <w:rPr>
            <w:noProof/>
            <w:sz w:val="24"/>
            <w:szCs w:val="24"/>
          </w:rPr>
          <w:t>10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2398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377EC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41582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97322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3662-EA22-4307-8F57-CF1BC5A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15350</Words>
  <Characters>87499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32</cp:revision>
  <cp:lastPrinted>2020-04-09T11:23:00Z</cp:lastPrinted>
  <dcterms:created xsi:type="dcterms:W3CDTF">2022-04-14T04:27:00Z</dcterms:created>
  <dcterms:modified xsi:type="dcterms:W3CDTF">2022-04-26T09:58:00Z</dcterms:modified>
</cp:coreProperties>
</file>