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3" w:rsidRDefault="008D7053" w:rsidP="000C085E">
      <w:pPr>
        <w:rPr>
          <w:b/>
          <w:color w:val="000000"/>
          <w:sz w:val="28"/>
          <w:szCs w:val="28"/>
        </w:rPr>
      </w:pP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 w:rsidR="00011219">
        <w:rPr>
          <w:rFonts w:ascii="NewtonAsian" w:hAnsi="NewtonAsian"/>
          <w:b/>
          <w:color w:val="000000"/>
          <w:sz w:val="28"/>
          <w:szCs w:val="28"/>
        </w:rPr>
        <w:t></w:t>
      </w:r>
      <w:r w:rsidR="00011219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ПРОЕКТ </w:t>
      </w:r>
    </w:p>
    <w:p w:rsidR="008D7053" w:rsidRDefault="008D7053" w:rsidP="000C085E">
      <w:pPr>
        <w:rPr>
          <w:b/>
          <w:color w:val="000000"/>
          <w:sz w:val="28"/>
          <w:szCs w:val="28"/>
        </w:rPr>
      </w:pPr>
    </w:p>
    <w:p w:rsidR="008D7053" w:rsidRDefault="008D7053" w:rsidP="000C085E">
      <w:pPr>
        <w:rPr>
          <w:b/>
          <w:color w:val="000000"/>
          <w:sz w:val="28"/>
          <w:szCs w:val="28"/>
        </w:rPr>
      </w:pPr>
    </w:p>
    <w:p w:rsidR="00011219" w:rsidRDefault="00011219" w:rsidP="000C085E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созыв                                                                         67 -</w:t>
      </w:r>
      <w:proofErr w:type="spellStart"/>
      <w:r>
        <w:rPr>
          <w:b/>
          <w:color w:val="000000"/>
          <w:sz w:val="28"/>
          <w:szCs w:val="28"/>
        </w:rPr>
        <w:t>ое</w:t>
      </w:r>
      <w:proofErr w:type="spellEnd"/>
      <w:r>
        <w:rPr>
          <w:b/>
          <w:color w:val="000000"/>
          <w:sz w:val="28"/>
          <w:szCs w:val="28"/>
        </w:rPr>
        <w:t xml:space="preserve"> заседание</w:t>
      </w:r>
    </w:p>
    <w:p w:rsidR="00011219" w:rsidRDefault="00011219" w:rsidP="00F72AD1">
      <w:pPr>
        <w:pStyle w:val="ConsPlusTitle"/>
        <w:jc w:val="center"/>
        <w:rPr>
          <w:sz w:val="28"/>
          <w:szCs w:val="28"/>
        </w:rPr>
      </w:pP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</w:t>
      </w:r>
      <w:r w:rsidRPr="004E4214">
        <w:rPr>
          <w:sz w:val="28"/>
          <w:szCs w:val="28"/>
        </w:rPr>
        <w:t xml:space="preserve">  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Республики Башкортостан 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19" w:rsidRPr="004E4214" w:rsidRDefault="00011219" w:rsidP="00F72AD1">
      <w:pPr>
        <w:ind w:firstLine="540"/>
        <w:jc w:val="both"/>
        <w:rPr>
          <w:sz w:val="28"/>
          <w:szCs w:val="28"/>
        </w:rPr>
      </w:pPr>
      <w:proofErr w:type="gramStart"/>
      <w:r w:rsidRPr="004E4214">
        <w:rPr>
          <w:sz w:val="28"/>
          <w:szCs w:val="28"/>
        </w:rPr>
        <w:t xml:space="preserve">В целях реализации Федерального закона от 21 декабря 2001 года </w:t>
      </w:r>
      <w:r w:rsidRPr="004E4214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D82A1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E4214">
        <w:rPr>
          <w:sz w:val="28"/>
          <w:szCs w:val="28"/>
        </w:rPr>
        <w:t xml:space="preserve">Совет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proofErr w:type="gram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постановляет: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14">
        <w:rPr>
          <w:sz w:val="28"/>
          <w:szCs w:val="28"/>
        </w:rPr>
        <w:t xml:space="preserve">1. Утвердить прилагаемый прогнозный </w:t>
      </w:r>
      <w:hyperlink r:id="rId4" w:anchor="Par28" w:history="1">
        <w:r w:rsidRPr="004E4214">
          <w:rPr>
            <w:rStyle w:val="a5"/>
            <w:sz w:val="28"/>
            <w:szCs w:val="28"/>
          </w:rPr>
          <w:t>план (программу)</w:t>
        </w:r>
      </w:hyperlink>
      <w:r w:rsidRPr="004E4214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на 201</w:t>
      </w:r>
      <w:r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год.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214">
        <w:rPr>
          <w:sz w:val="28"/>
          <w:szCs w:val="28"/>
        </w:rPr>
        <w:t xml:space="preserve">. </w:t>
      </w:r>
      <w:proofErr w:type="gramStart"/>
      <w:r w:rsidRPr="004E4214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возлагаю на себя.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Р.Р. </w:t>
      </w:r>
      <w:proofErr w:type="spellStart"/>
      <w:r>
        <w:rPr>
          <w:sz w:val="28"/>
          <w:szCs w:val="28"/>
        </w:rPr>
        <w:t>Имаев</w:t>
      </w:r>
      <w:proofErr w:type="spellEnd"/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7F3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Семилетка </w:t>
      </w:r>
    </w:p>
    <w:p w:rsidR="00011219" w:rsidRDefault="008D7053" w:rsidP="007F3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 w:rsidR="00011219">
        <w:rPr>
          <w:sz w:val="28"/>
          <w:szCs w:val="28"/>
        </w:rPr>
        <w:t>.</w:t>
      </w:r>
    </w:p>
    <w:p w:rsidR="00011219" w:rsidRPr="004E4214" w:rsidRDefault="00011219" w:rsidP="007F3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8D7053">
        <w:rPr>
          <w:sz w:val="28"/>
          <w:szCs w:val="28"/>
        </w:rPr>
        <w:t>______</w:t>
      </w: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E4214">
        <w:rPr>
          <w:sz w:val="24"/>
          <w:szCs w:val="24"/>
        </w:rPr>
        <w:t>Утвержден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Решением Совета </w:t>
      </w: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муниципального района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E4214">
        <w:rPr>
          <w:sz w:val="24"/>
          <w:szCs w:val="24"/>
        </w:rPr>
        <w:t>Дюртюлинский</w:t>
      </w:r>
      <w:proofErr w:type="spellEnd"/>
      <w:r w:rsidRPr="004E4214">
        <w:rPr>
          <w:sz w:val="24"/>
          <w:szCs w:val="24"/>
        </w:rPr>
        <w:t xml:space="preserve"> район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Республики Башкортостан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№ </w:t>
      </w:r>
      <w:r w:rsidR="008D705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8D7053">
        <w:rPr>
          <w:sz w:val="24"/>
          <w:szCs w:val="24"/>
        </w:rPr>
        <w:t xml:space="preserve"> от _______</w:t>
      </w:r>
      <w:r>
        <w:rPr>
          <w:sz w:val="24"/>
          <w:szCs w:val="24"/>
        </w:rPr>
        <w:t>г</w:t>
      </w:r>
      <w:bookmarkStart w:id="0" w:name="_GoBack"/>
      <w:bookmarkEnd w:id="0"/>
      <w:r w:rsidRPr="004E4214">
        <w:rPr>
          <w:sz w:val="24"/>
          <w:szCs w:val="24"/>
        </w:rPr>
        <w:t>.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ПРОГНОЗНЫЙ ПЛАН (ПРОГРАММА)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bookmarkStart w:id="1" w:name="Par28"/>
      <w:bookmarkEnd w:id="1"/>
      <w:r w:rsidRPr="004E4214">
        <w:rPr>
          <w:sz w:val="28"/>
          <w:szCs w:val="28"/>
        </w:rPr>
        <w:t>ПРИВАТИЗАЦИИ МУНИЦИПАЛЬНОГО ИМУЩЕСТВА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E421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СЕМИЛЕТОВСКИЙ СЕЛЬСОВЕТ</w:t>
      </w:r>
      <w:r w:rsidRPr="004E4214">
        <w:rPr>
          <w:sz w:val="28"/>
          <w:szCs w:val="28"/>
        </w:rPr>
        <w:t xml:space="preserve"> МУНИЦИПАЛЬНОГО РАЙОНА ДЮРТЮЛИНСКИЙ РАЙОН РЕСПУБЛИКИ БАШКОРТОСТАН НА 201</w:t>
      </w:r>
      <w:r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19" w:rsidRPr="00CE55EE" w:rsidRDefault="00011219" w:rsidP="00F72AD1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Раздел 1. Основные цели и задачи</w:t>
      </w:r>
    </w:p>
    <w:p w:rsidR="00011219" w:rsidRPr="00CE55EE" w:rsidRDefault="00011219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11219" w:rsidRPr="00CE55EE" w:rsidRDefault="00011219" w:rsidP="00F72AD1">
      <w:pPr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>Целью прогнозного плана приватизации муниципального имущества на 201</w:t>
      </w:r>
      <w:r>
        <w:rPr>
          <w:sz w:val="27"/>
          <w:szCs w:val="27"/>
        </w:rPr>
        <w:t>9</w:t>
      </w:r>
      <w:r w:rsidRPr="00CE55EE">
        <w:rPr>
          <w:sz w:val="27"/>
          <w:szCs w:val="27"/>
        </w:rPr>
        <w:t xml:space="preserve"> год  является вклад приватизации в повышение темпов роста и эффективности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 район Республики Башкортостан. </w:t>
      </w:r>
      <w:proofErr w:type="gramStart"/>
      <w:r w:rsidRPr="00CE55EE">
        <w:rPr>
          <w:sz w:val="27"/>
          <w:szCs w:val="27"/>
        </w:rPr>
        <w:t>План приватизации разработан в соответствии с Федеральными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</w:t>
      </w:r>
      <w:proofErr w:type="gramEnd"/>
      <w:r w:rsidRPr="00CE55EE">
        <w:rPr>
          <w:sz w:val="27"/>
          <w:szCs w:val="27"/>
        </w:rPr>
        <w:t xml:space="preserve"> Правилами разработки прогнозного плана (программы)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от 31.05.2013г. № 237.</w:t>
      </w:r>
    </w:p>
    <w:p w:rsidR="00011219" w:rsidRPr="00CE55EE" w:rsidRDefault="00011219" w:rsidP="00F72AD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Основными задачами плана приватизации являются: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осуществление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которое не обеспечивает выполнение функций и полномочий муниципального образования;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формирование доходов бюджета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lastRenderedPageBreak/>
        <w:t xml:space="preserve">- стимулирование привлечения инвестиций в реальный сектор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-  своевременное и полное поступление в бюджет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 доходов от приватизации.</w:t>
      </w:r>
    </w:p>
    <w:p w:rsidR="00011219" w:rsidRPr="00CE55EE" w:rsidRDefault="00011219" w:rsidP="00F72AD1">
      <w:pPr>
        <w:jc w:val="center"/>
        <w:rPr>
          <w:b/>
          <w:sz w:val="27"/>
          <w:szCs w:val="27"/>
        </w:rPr>
      </w:pPr>
    </w:p>
    <w:p w:rsidR="00011219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2. Перечень муниципального имущества </w:t>
      </w:r>
      <w:r>
        <w:rPr>
          <w:b/>
          <w:sz w:val="28"/>
          <w:szCs w:val="28"/>
        </w:rPr>
        <w:t>сельского</w:t>
      </w:r>
      <w:r w:rsidRPr="00365D9E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E4214">
        <w:rPr>
          <w:sz w:val="28"/>
          <w:szCs w:val="28"/>
        </w:rPr>
        <w:t xml:space="preserve"> </w:t>
      </w:r>
      <w:r w:rsidRPr="004E4214">
        <w:rPr>
          <w:b/>
          <w:sz w:val="28"/>
          <w:szCs w:val="28"/>
        </w:rPr>
        <w:t xml:space="preserve">муниципального района </w:t>
      </w:r>
      <w:proofErr w:type="spellStart"/>
      <w:r w:rsidRPr="004E4214">
        <w:rPr>
          <w:b/>
          <w:sz w:val="28"/>
          <w:szCs w:val="28"/>
        </w:rPr>
        <w:t>Дюртюлинский</w:t>
      </w:r>
      <w:proofErr w:type="spellEnd"/>
      <w:r w:rsidRPr="004E4214">
        <w:rPr>
          <w:b/>
          <w:sz w:val="28"/>
          <w:szCs w:val="28"/>
        </w:rPr>
        <w:t xml:space="preserve"> район Республики Башкортостан, </w:t>
      </w:r>
      <w:proofErr w:type="gramStart"/>
      <w:r w:rsidRPr="004E4214">
        <w:rPr>
          <w:b/>
          <w:sz w:val="28"/>
          <w:szCs w:val="28"/>
        </w:rPr>
        <w:t>которое</w:t>
      </w:r>
      <w:proofErr w:type="gramEnd"/>
      <w:r w:rsidRPr="004E4214">
        <w:rPr>
          <w:b/>
          <w:sz w:val="28"/>
          <w:szCs w:val="28"/>
        </w:rPr>
        <w:t xml:space="preserve"> планируется приватизировать в 201</w:t>
      </w:r>
      <w:r>
        <w:rPr>
          <w:b/>
          <w:sz w:val="28"/>
          <w:szCs w:val="28"/>
        </w:rPr>
        <w:t>8</w:t>
      </w:r>
      <w:r w:rsidRPr="004E4214">
        <w:rPr>
          <w:b/>
          <w:sz w:val="28"/>
          <w:szCs w:val="28"/>
        </w:rPr>
        <w:t xml:space="preserve"> году 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72"/>
        <w:gridCol w:w="3505"/>
      </w:tblGrid>
      <w:tr w:rsidR="00011219" w:rsidRPr="00697D2D" w:rsidTr="001300D3">
        <w:tc>
          <w:tcPr>
            <w:tcW w:w="594" w:type="dxa"/>
          </w:tcPr>
          <w:p w:rsidR="00011219" w:rsidRPr="00697D2D" w:rsidRDefault="00011219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97D2D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72" w:type="dxa"/>
          </w:tcPr>
          <w:p w:rsidR="00011219" w:rsidRPr="00697D2D" w:rsidRDefault="00011219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Наименование и характеристика объекта</w:t>
            </w:r>
          </w:p>
        </w:tc>
        <w:tc>
          <w:tcPr>
            <w:tcW w:w="3505" w:type="dxa"/>
          </w:tcPr>
          <w:p w:rsidR="00011219" w:rsidRPr="00697D2D" w:rsidRDefault="00011219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Адрес</w:t>
            </w:r>
          </w:p>
        </w:tc>
      </w:tr>
      <w:tr w:rsidR="00011219" w:rsidRPr="00697D2D" w:rsidTr="001300D3">
        <w:tc>
          <w:tcPr>
            <w:tcW w:w="594" w:type="dxa"/>
          </w:tcPr>
          <w:p w:rsidR="00011219" w:rsidRPr="00697D2D" w:rsidRDefault="00011219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72" w:type="dxa"/>
          </w:tcPr>
          <w:p w:rsidR="00011219" w:rsidRPr="00697D2D" w:rsidRDefault="00011219" w:rsidP="00E73192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Помещение, нежилое, площадью </w:t>
            </w:r>
            <w:r>
              <w:rPr>
                <w:sz w:val="26"/>
                <w:szCs w:val="26"/>
                <w:lang w:eastAsia="en-US"/>
              </w:rPr>
              <w:t>20,9</w:t>
            </w:r>
            <w:r w:rsidRPr="00697D2D">
              <w:rPr>
                <w:sz w:val="26"/>
                <w:szCs w:val="26"/>
                <w:lang w:eastAsia="en-US"/>
              </w:rPr>
              <w:t xml:space="preserve"> кв.м., </w:t>
            </w:r>
            <w:r>
              <w:rPr>
                <w:sz w:val="26"/>
                <w:szCs w:val="26"/>
                <w:lang w:eastAsia="en-US"/>
              </w:rPr>
              <w:t xml:space="preserve">этаж </w:t>
            </w:r>
            <w:r w:rsidRPr="00697D2D">
              <w:rPr>
                <w:sz w:val="26"/>
                <w:szCs w:val="26"/>
                <w:lang w:eastAsia="en-US"/>
              </w:rPr>
              <w:t xml:space="preserve">1, номера на поэтажном плане </w:t>
            </w: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505" w:type="dxa"/>
          </w:tcPr>
          <w:p w:rsidR="00011219" w:rsidRPr="00697D2D" w:rsidRDefault="00011219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Дюртюлинский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район,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sz w:val="26"/>
                <w:szCs w:val="26"/>
                <w:lang w:eastAsia="en-US"/>
              </w:rPr>
              <w:t>Семилетка</w:t>
            </w:r>
            <w:proofErr w:type="gramEnd"/>
            <w:r>
              <w:rPr>
                <w:sz w:val="26"/>
                <w:szCs w:val="26"/>
                <w:lang w:eastAsia="en-US"/>
              </w:rPr>
              <w:t>, ул. Ленина, д.10</w:t>
            </w:r>
          </w:p>
        </w:tc>
      </w:tr>
    </w:tbl>
    <w:p w:rsidR="00011219" w:rsidRDefault="00011219" w:rsidP="00F72AD1">
      <w:pPr>
        <w:jc w:val="center"/>
        <w:rPr>
          <w:b/>
          <w:sz w:val="28"/>
          <w:szCs w:val="28"/>
        </w:rPr>
      </w:pP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3.  Порядок оплаты и распределения средств </w:t>
      </w:r>
      <w:proofErr w:type="gramStart"/>
      <w:r w:rsidRPr="004E4214">
        <w:rPr>
          <w:b/>
          <w:sz w:val="28"/>
          <w:szCs w:val="28"/>
        </w:rPr>
        <w:t>при</w:t>
      </w:r>
      <w:proofErr w:type="gramEnd"/>
      <w:r w:rsidRPr="004E4214">
        <w:rPr>
          <w:b/>
          <w:sz w:val="28"/>
          <w:szCs w:val="28"/>
        </w:rPr>
        <w:t xml:space="preserve"> 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приватизации муниципального имущества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</w:p>
    <w:p w:rsidR="00011219" w:rsidRPr="00CE55EE" w:rsidRDefault="00011219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1. Оплата приобретаемого имущества производится единовременного в течение месяца со дня заключения договора купли-продажи муниципального имущества. </w:t>
      </w:r>
    </w:p>
    <w:p w:rsidR="00011219" w:rsidRPr="00CE55EE" w:rsidRDefault="00011219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2. Оплата недвижимого имущества,  приобретаемого субъектами малого и среднего предпринимательства при реализации преимущественного права на приобретение  арендуемого имущества, находящегося в муниципальной собственности, осуществляется единовременного или в рассрочку </w:t>
      </w:r>
      <w:proofErr w:type="gramStart"/>
      <w:r w:rsidRPr="00CE55EE">
        <w:rPr>
          <w:sz w:val="27"/>
          <w:szCs w:val="27"/>
        </w:rPr>
        <w:t>согласно</w:t>
      </w:r>
      <w:proofErr w:type="gramEnd"/>
      <w:r w:rsidRPr="00CE55EE">
        <w:rPr>
          <w:sz w:val="27"/>
          <w:szCs w:val="27"/>
        </w:rPr>
        <w:t xml:space="preserve"> действующего законодательства.</w:t>
      </w:r>
    </w:p>
    <w:p w:rsidR="00011219" w:rsidRPr="00CE55EE" w:rsidRDefault="00011219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>3. При приватизации имущества средством платежа признается денежная единица Российской Федерации.</w:t>
      </w:r>
    </w:p>
    <w:p w:rsidR="00011219" w:rsidRPr="00CE55EE" w:rsidRDefault="00011219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4.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E55EE">
        <w:rPr>
          <w:color w:val="auto"/>
          <w:sz w:val="27"/>
          <w:szCs w:val="27"/>
        </w:rPr>
        <w:t>Дюртюлинскому</w:t>
      </w:r>
      <w:proofErr w:type="spellEnd"/>
      <w:r w:rsidRPr="00CE55EE">
        <w:rPr>
          <w:color w:val="auto"/>
          <w:sz w:val="27"/>
          <w:szCs w:val="27"/>
        </w:rPr>
        <w:t xml:space="preserve">  району и городу Дюртюли.</w:t>
      </w:r>
    </w:p>
    <w:p w:rsidR="00011219" w:rsidRPr="00CE55EE" w:rsidRDefault="00011219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5. Финансовое управление администрации 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 район осуществляет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целевым использованием средств, поступивших в бюджет сельского 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</w:t>
      </w:r>
      <w:r w:rsidRPr="00CE55EE">
        <w:rPr>
          <w:sz w:val="27"/>
          <w:szCs w:val="27"/>
        </w:rPr>
        <w:t xml:space="preserve">  </w:t>
      </w:r>
      <w:r w:rsidRPr="00CE55EE">
        <w:rPr>
          <w:color w:val="auto"/>
          <w:sz w:val="27"/>
          <w:szCs w:val="27"/>
        </w:rPr>
        <w:t xml:space="preserve">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район  от приватизации</w:t>
      </w:r>
      <w:r w:rsidRPr="004E4214">
        <w:rPr>
          <w:color w:val="auto"/>
          <w:sz w:val="28"/>
          <w:szCs w:val="28"/>
        </w:rPr>
        <w:t xml:space="preserve"> </w:t>
      </w:r>
      <w:r w:rsidRPr="00CE55EE">
        <w:rPr>
          <w:color w:val="auto"/>
          <w:sz w:val="27"/>
          <w:szCs w:val="27"/>
        </w:rPr>
        <w:t xml:space="preserve">муниципального имущества. </w:t>
      </w:r>
    </w:p>
    <w:p w:rsidR="00011219" w:rsidRPr="004E4214" w:rsidRDefault="0001121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 Раздел 4. Порядок предоставления информации о приватизации 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муниципального имущества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</w:p>
    <w:p w:rsidR="00011219" w:rsidRPr="00CE55EE" w:rsidRDefault="00011219" w:rsidP="00F72AD1">
      <w:pPr>
        <w:pStyle w:val="a3"/>
        <w:ind w:firstLine="357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Информация о результатах приватизации муниципального имущества подлежит размещению на официальном сайте администрации сельского </w:t>
      </w:r>
      <w:r w:rsidRPr="00CE55EE">
        <w:rPr>
          <w:color w:val="auto"/>
          <w:sz w:val="27"/>
          <w:szCs w:val="27"/>
        </w:rPr>
        <w:lastRenderedPageBreak/>
        <w:t xml:space="preserve">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 </w:t>
      </w:r>
      <w:r w:rsidRPr="00CE55EE">
        <w:rPr>
          <w:sz w:val="27"/>
          <w:szCs w:val="27"/>
        </w:rPr>
        <w:t xml:space="preserve"> </w:t>
      </w:r>
      <w:r w:rsidRPr="00CE55EE">
        <w:rPr>
          <w:color w:val="auto"/>
          <w:sz w:val="27"/>
          <w:szCs w:val="27"/>
        </w:rPr>
        <w:t xml:space="preserve">и </w:t>
      </w:r>
      <w:proofErr w:type="gramStart"/>
      <w:r w:rsidRPr="00CE55EE">
        <w:rPr>
          <w:color w:val="auto"/>
          <w:sz w:val="27"/>
          <w:szCs w:val="27"/>
        </w:rPr>
        <w:t>в сети  Интернет  в течение месяца со дня совершения сделок по приватизации в порядке</w:t>
      </w:r>
      <w:proofErr w:type="gramEnd"/>
      <w:r w:rsidRPr="00CE55EE">
        <w:rPr>
          <w:color w:val="auto"/>
          <w:sz w:val="27"/>
          <w:szCs w:val="27"/>
        </w:rPr>
        <w:t>, установленном действующим законодательством.</w:t>
      </w:r>
    </w:p>
    <w:p w:rsidR="00011219" w:rsidRDefault="00011219" w:rsidP="0046455B">
      <w:pPr>
        <w:jc w:val="both"/>
      </w:pPr>
    </w:p>
    <w:p w:rsidR="00011219" w:rsidRDefault="00011219" w:rsidP="0046455B">
      <w:pPr>
        <w:jc w:val="center"/>
        <w:rPr>
          <w:sz w:val="28"/>
          <w:szCs w:val="28"/>
        </w:rPr>
      </w:pP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10 с.Семилетка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РБ, 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42-5-32, 42-8-20</w:t>
      </w:r>
    </w:p>
    <w:p w:rsidR="00011219" w:rsidRDefault="00011219" w:rsidP="0046455B">
      <w:pPr>
        <w:jc w:val="center"/>
        <w:rPr>
          <w:sz w:val="28"/>
          <w:szCs w:val="28"/>
        </w:rPr>
      </w:pPr>
    </w:p>
    <w:p w:rsidR="00011219" w:rsidRDefault="00011219" w:rsidP="004645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составлено по итогам проведения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011219" w:rsidRDefault="00011219" w:rsidP="0046455B">
      <w:pPr>
        <w:jc w:val="center"/>
        <w:rPr>
          <w:sz w:val="28"/>
          <w:szCs w:val="28"/>
        </w:rPr>
      </w:pPr>
    </w:p>
    <w:p w:rsidR="00011219" w:rsidRDefault="00011219" w:rsidP="0046455B">
      <w:pPr>
        <w:rPr>
          <w:sz w:val="24"/>
          <w:szCs w:val="24"/>
        </w:rPr>
      </w:pPr>
      <w:r>
        <w:rPr>
          <w:sz w:val="28"/>
          <w:szCs w:val="28"/>
        </w:rPr>
        <w:t>от «___» ___________ 20___ г.                                                         №_________</w:t>
      </w:r>
    </w:p>
    <w:p w:rsidR="00011219" w:rsidRPr="0046455B" w:rsidRDefault="00011219" w:rsidP="0046455B">
      <w:pPr>
        <w:jc w:val="both"/>
        <w:rPr>
          <w:sz w:val="28"/>
          <w:szCs w:val="28"/>
        </w:rPr>
      </w:pPr>
    </w:p>
    <w:p w:rsidR="00011219" w:rsidRPr="0046455B" w:rsidRDefault="00011219" w:rsidP="0046455B">
      <w:pPr>
        <w:pStyle w:val="ConsPlusTitle"/>
        <w:jc w:val="both"/>
        <w:rPr>
          <w:b w:val="0"/>
          <w:sz w:val="28"/>
          <w:szCs w:val="28"/>
        </w:rPr>
      </w:pPr>
      <w:r w:rsidRPr="0046455B">
        <w:rPr>
          <w:b w:val="0"/>
          <w:sz w:val="28"/>
          <w:szCs w:val="28"/>
        </w:rPr>
        <w:t xml:space="preserve">        </w:t>
      </w:r>
      <w:proofErr w:type="gramStart"/>
      <w:r w:rsidRPr="0046455B">
        <w:rPr>
          <w:b w:val="0"/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46455B">
        <w:rPr>
          <w:b w:val="0"/>
          <w:sz w:val="28"/>
          <w:szCs w:val="28"/>
        </w:rPr>
        <w:t xml:space="preserve"> комиссией Совета по социально – гуманитарным вопросам Совета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 проведена экспертиза на </w:t>
      </w:r>
      <w:proofErr w:type="spellStart"/>
      <w:r w:rsidRPr="0046455B">
        <w:rPr>
          <w:b w:val="0"/>
          <w:sz w:val="28"/>
          <w:szCs w:val="28"/>
        </w:rPr>
        <w:t>коррупциогенность</w:t>
      </w:r>
      <w:proofErr w:type="spellEnd"/>
      <w:r w:rsidRPr="0046455B">
        <w:rPr>
          <w:b w:val="0"/>
          <w:sz w:val="28"/>
          <w:szCs w:val="28"/>
        </w:rPr>
        <w:t xml:space="preserve"> решения Совета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 </w:t>
      </w:r>
    </w:p>
    <w:p w:rsidR="00011219" w:rsidRPr="0046455B" w:rsidRDefault="00011219" w:rsidP="0046455B">
      <w:pPr>
        <w:pStyle w:val="ConsPlusTitle"/>
        <w:jc w:val="both"/>
        <w:rPr>
          <w:b w:val="0"/>
          <w:sz w:val="28"/>
          <w:szCs w:val="28"/>
        </w:rPr>
      </w:pPr>
      <w:r w:rsidRPr="0046455B">
        <w:rPr>
          <w:b w:val="0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46455B">
        <w:rPr>
          <w:b w:val="0"/>
        </w:rPr>
        <w:t>Семилетовский</w:t>
      </w:r>
      <w:proofErr w:type="spellEnd"/>
      <w:r w:rsidRPr="0046455B">
        <w:rPr>
          <w:b w:val="0"/>
        </w:rPr>
        <w:t xml:space="preserve"> сельсовет   муниципального района </w:t>
      </w:r>
      <w:proofErr w:type="spellStart"/>
      <w:r w:rsidRPr="0046455B">
        <w:rPr>
          <w:b w:val="0"/>
        </w:rPr>
        <w:t>Дюртюлинский</w:t>
      </w:r>
      <w:proofErr w:type="spellEnd"/>
      <w:r w:rsidRPr="0046455B">
        <w:rPr>
          <w:b w:val="0"/>
        </w:rPr>
        <w:t xml:space="preserve"> район Республики Башкортостан на  2019 год» №____ от ___________2019г. 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802"/>
        <w:gridCol w:w="2642"/>
        <w:gridCol w:w="2197"/>
        <w:gridCol w:w="2091"/>
      </w:tblGrid>
      <w:tr w:rsidR="00011219" w:rsidTr="0046455B">
        <w:tc>
          <w:tcPr>
            <w:tcW w:w="704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 xml:space="preserve">предложения об устранении выявленных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proofErr w:type="spellStart"/>
            <w:r>
              <w:t>Коррупциогенных</w:t>
            </w:r>
            <w:proofErr w:type="spellEnd"/>
            <w: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011219" w:rsidTr="0046455B">
        <w:tc>
          <w:tcPr>
            <w:tcW w:w="704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</w:t>
            </w:r>
          </w:p>
        </w:tc>
      </w:tr>
    </w:tbl>
    <w:p w:rsidR="00011219" w:rsidRDefault="00011219" w:rsidP="0046455B">
      <w:pPr>
        <w:outlineLvl w:val="0"/>
        <w:rPr>
          <w:sz w:val="28"/>
          <w:szCs w:val="28"/>
        </w:rPr>
      </w:pPr>
    </w:p>
    <w:p w:rsidR="00011219" w:rsidRDefault="00011219" w:rsidP="0046455B">
      <w:pPr>
        <w:outlineLvl w:val="0"/>
        <w:rPr>
          <w:sz w:val="28"/>
          <w:szCs w:val="28"/>
        </w:rPr>
      </w:pPr>
    </w:p>
    <w:p w:rsidR="00011219" w:rsidRDefault="00011219" w:rsidP="0046455B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11219" w:rsidRPr="0046455B" w:rsidRDefault="00011219" w:rsidP="0046455B">
      <w:pPr>
        <w:tabs>
          <w:tab w:val="left" w:pos="6630"/>
        </w:tabs>
        <w:rPr>
          <w:sz w:val="28"/>
          <w:szCs w:val="28"/>
        </w:rPr>
      </w:pPr>
      <w:r w:rsidRPr="0046455B">
        <w:rPr>
          <w:sz w:val="28"/>
          <w:szCs w:val="28"/>
        </w:rPr>
        <w:t>социально – гуманитар</w:t>
      </w:r>
      <w:r>
        <w:rPr>
          <w:sz w:val="28"/>
          <w:szCs w:val="28"/>
        </w:rPr>
        <w:t xml:space="preserve">ным вопросам </w:t>
      </w:r>
      <w:r>
        <w:rPr>
          <w:sz w:val="28"/>
          <w:szCs w:val="28"/>
        </w:rPr>
        <w:tab/>
        <w:t xml:space="preserve">                 </w:t>
      </w:r>
      <w:r w:rsidRPr="0046455B">
        <w:rPr>
          <w:sz w:val="28"/>
          <w:szCs w:val="28"/>
        </w:rPr>
        <w:t xml:space="preserve">А.Р.Харисов </w:t>
      </w:r>
    </w:p>
    <w:p w:rsidR="00011219" w:rsidRDefault="00011219" w:rsidP="0046455B">
      <w:pPr>
        <w:tabs>
          <w:tab w:val="left" w:pos="6630"/>
        </w:tabs>
      </w:pPr>
    </w:p>
    <w:p w:rsidR="00011219" w:rsidRDefault="00011219" w:rsidP="0046455B">
      <w:pPr>
        <w:tabs>
          <w:tab w:val="left" w:pos="6630"/>
        </w:tabs>
      </w:pPr>
    </w:p>
    <w:p w:rsidR="00011219" w:rsidRPr="0046455B" w:rsidRDefault="00011219" w:rsidP="0046455B">
      <w:pPr>
        <w:tabs>
          <w:tab w:val="left" w:pos="6630"/>
        </w:tabs>
        <w:rPr>
          <w:sz w:val="28"/>
          <w:szCs w:val="28"/>
        </w:rPr>
      </w:pPr>
    </w:p>
    <w:p w:rsidR="00011219" w:rsidRDefault="00011219" w:rsidP="0046455B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10 с.Семилетка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РБ, 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42-5-32, 42-8-20</w:t>
      </w:r>
    </w:p>
    <w:p w:rsidR="00011219" w:rsidRDefault="00011219" w:rsidP="004645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составлено по итогам проведения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011219" w:rsidRDefault="00011219" w:rsidP="0046455B">
      <w:pPr>
        <w:jc w:val="both"/>
        <w:rPr>
          <w:sz w:val="28"/>
          <w:szCs w:val="28"/>
        </w:rPr>
      </w:pPr>
    </w:p>
    <w:p w:rsidR="00011219" w:rsidRDefault="00011219" w:rsidP="0046455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 20___ г.                                                         №_________</w:t>
      </w:r>
    </w:p>
    <w:p w:rsidR="00011219" w:rsidRDefault="00011219" w:rsidP="0046455B">
      <w:pPr>
        <w:rPr>
          <w:sz w:val="28"/>
          <w:szCs w:val="28"/>
        </w:rPr>
      </w:pPr>
    </w:p>
    <w:p w:rsidR="00011219" w:rsidRPr="0046455B" w:rsidRDefault="00011219" w:rsidP="0046455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комиссией Совета по социально – гуманитарным вопросам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проведена экспертиза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46455B">
        <w:rPr>
          <w:rFonts w:ascii="Times New Roman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46455B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46455B">
        <w:rPr>
          <w:rFonts w:ascii="Times New Roman" w:hAnsi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46455B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46455B">
        <w:rPr>
          <w:rFonts w:ascii="Times New Roman" w:hAnsi="Times New Roman"/>
          <w:sz w:val="28"/>
          <w:szCs w:val="28"/>
        </w:rPr>
        <w:t xml:space="preserve"> район Республики Башкортостан на  2019 год» и установлено следующее:</w:t>
      </w:r>
      <w:proofErr w:type="gramEnd"/>
    </w:p>
    <w:p w:rsidR="00011219" w:rsidRDefault="00011219" w:rsidP="0046455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802"/>
        <w:gridCol w:w="2642"/>
        <w:gridCol w:w="2197"/>
        <w:gridCol w:w="2091"/>
      </w:tblGrid>
      <w:tr w:rsidR="00011219" w:rsidTr="0046455B">
        <w:tc>
          <w:tcPr>
            <w:tcW w:w="704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редложения</w:t>
            </w:r>
            <w:proofErr w:type="spellEnd"/>
            <w:r>
              <w:t xml:space="preserve"> об устранении выявленных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Коррупциогенных</w:t>
            </w:r>
            <w:proofErr w:type="spellEnd"/>
            <w: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011219" w:rsidTr="0046455B">
        <w:tc>
          <w:tcPr>
            <w:tcW w:w="704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</w:t>
            </w:r>
          </w:p>
        </w:tc>
      </w:tr>
    </w:tbl>
    <w:p w:rsidR="00011219" w:rsidRDefault="00011219" w:rsidP="0046455B">
      <w:pPr>
        <w:rPr>
          <w:sz w:val="24"/>
          <w:szCs w:val="24"/>
        </w:rPr>
      </w:pPr>
    </w:p>
    <w:p w:rsidR="00011219" w:rsidRDefault="00011219" w:rsidP="004645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11219" w:rsidRDefault="00011219" w:rsidP="0046455B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социально – гуманитарным вопросам </w:t>
      </w:r>
      <w:r>
        <w:rPr>
          <w:sz w:val="28"/>
          <w:szCs w:val="28"/>
        </w:rPr>
        <w:tab/>
        <w:t xml:space="preserve">                 А.Р.Харисов </w:t>
      </w:r>
    </w:p>
    <w:p w:rsidR="00011219" w:rsidRDefault="00011219"/>
    <w:sectPr w:rsidR="00011219" w:rsidSect="0098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89"/>
    <w:rsid w:val="00011219"/>
    <w:rsid w:val="00064017"/>
    <w:rsid w:val="000C085E"/>
    <w:rsid w:val="001300D3"/>
    <w:rsid w:val="001E5C3C"/>
    <w:rsid w:val="002631EE"/>
    <w:rsid w:val="00297260"/>
    <w:rsid w:val="00365D9E"/>
    <w:rsid w:val="003F583E"/>
    <w:rsid w:val="0046455B"/>
    <w:rsid w:val="004E4214"/>
    <w:rsid w:val="00554689"/>
    <w:rsid w:val="00635741"/>
    <w:rsid w:val="00635988"/>
    <w:rsid w:val="00697D2D"/>
    <w:rsid w:val="006F3479"/>
    <w:rsid w:val="007F39C1"/>
    <w:rsid w:val="00873F4E"/>
    <w:rsid w:val="008D7053"/>
    <w:rsid w:val="00930D4C"/>
    <w:rsid w:val="0098607E"/>
    <w:rsid w:val="009B50E2"/>
    <w:rsid w:val="009B55DA"/>
    <w:rsid w:val="00B109C9"/>
    <w:rsid w:val="00C8384A"/>
    <w:rsid w:val="00CC2DEB"/>
    <w:rsid w:val="00CE55EE"/>
    <w:rsid w:val="00CE5C8B"/>
    <w:rsid w:val="00D378D6"/>
    <w:rsid w:val="00D82A18"/>
    <w:rsid w:val="00E11EE6"/>
    <w:rsid w:val="00E73192"/>
    <w:rsid w:val="00E84A76"/>
    <w:rsid w:val="00E873B8"/>
    <w:rsid w:val="00E90493"/>
    <w:rsid w:val="00F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F39C1"/>
    <w:pPr>
      <w:keepNext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A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72AD1"/>
    <w:pPr>
      <w:spacing w:after="120"/>
    </w:pPr>
    <w:rPr>
      <w:bCs/>
      <w:color w:val="0C3D6E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F72AD1"/>
    <w:rPr>
      <w:rFonts w:ascii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PlusTitle">
    <w:name w:val="ConsPlusTitle"/>
    <w:uiPriority w:val="99"/>
    <w:rsid w:val="00F72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5">
    <w:name w:val="Hyperlink"/>
    <w:basedOn w:val="a0"/>
    <w:uiPriority w:val="99"/>
    <w:semiHidden/>
    <w:rsid w:val="00F72AD1"/>
    <w:rPr>
      <w:rFonts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46455B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46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3F4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455B"/>
    <w:pPr>
      <w:widowControl w:val="0"/>
      <w:autoSpaceDE w:val="0"/>
      <w:autoSpaceDN w:val="0"/>
    </w:pPr>
    <w:rPr>
      <w:rFonts w:cs="Calibri"/>
      <w:sz w:val="22"/>
    </w:rPr>
  </w:style>
  <w:style w:type="paragraph" w:styleId="3">
    <w:name w:val="Body Text 3"/>
    <w:basedOn w:val="a"/>
    <w:link w:val="30"/>
    <w:uiPriority w:val="99"/>
    <w:rsid w:val="007F3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84A76"/>
    <w:rPr>
      <w:rFonts w:ascii="Times New Roman" w:hAnsi="Times New Roman" w:cs="Times New Roman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9B50E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26C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liya\Desktop\&#1057;&#1077;&#1084;&#1080;&#1083;&#1077;&#1090;&#1082;&#1072;\&#1055;&#1088;&#1086;&#1075;&#1085;&#1086;&#1079;%20-&#1057;&#1077;&#1084;&#1080;&#1083;&#1077;&#1082;&#1090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user</cp:lastModifiedBy>
  <cp:revision>10</cp:revision>
  <cp:lastPrinted>2019-06-28T04:10:00Z</cp:lastPrinted>
  <dcterms:created xsi:type="dcterms:W3CDTF">2018-11-16T10:54:00Z</dcterms:created>
  <dcterms:modified xsi:type="dcterms:W3CDTF">2019-07-23T10:42:00Z</dcterms:modified>
</cp:coreProperties>
</file>